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06" w:rsidRDefault="009C4906">
      <w:pPr>
        <w:spacing w:line="259" w:lineRule="auto"/>
        <w:ind w:left="0" w:firstLine="0"/>
        <w:jc w:val="left"/>
      </w:pPr>
    </w:p>
    <w:p w:rsidR="009C4906" w:rsidRDefault="00E65559">
      <w:bookmarkStart w:id="0" w:name="_GoBack"/>
      <w:bookmarkEnd w:id="0"/>
      <w:r>
        <w:t xml:space="preserve">Wykaz minimalnych wymagań sprzętowych rejestratorów leśniczego  z systemem Android </w:t>
      </w:r>
    </w:p>
    <w:tbl>
      <w:tblPr>
        <w:tblStyle w:val="TableGrid"/>
        <w:tblW w:w="10011" w:type="dxa"/>
        <w:tblInd w:w="-552" w:type="dxa"/>
        <w:tblCellMar>
          <w:top w:w="35" w:type="dxa"/>
          <w:left w:w="70" w:type="dxa"/>
          <w:right w:w="35" w:type="dxa"/>
        </w:tblCellMar>
        <w:tblLook w:val="04A0" w:firstRow="1" w:lastRow="0" w:firstColumn="1" w:lastColumn="0" w:noHBand="0" w:noVBand="1"/>
      </w:tblPr>
      <w:tblGrid>
        <w:gridCol w:w="2247"/>
        <w:gridCol w:w="7764"/>
      </w:tblGrid>
      <w:tr w:rsidR="009C4906" w:rsidTr="00B83663">
        <w:trPr>
          <w:trHeight w:val="299"/>
        </w:trPr>
        <w:tc>
          <w:tcPr>
            <w:tcW w:w="2247" w:type="dxa"/>
            <w:tcBorders>
              <w:top w:val="single" w:sz="17" w:space="0" w:color="000000"/>
              <w:left w:val="single" w:sz="4" w:space="0" w:color="000000"/>
              <w:bottom w:val="single" w:sz="4" w:space="0" w:color="000000"/>
              <w:right w:val="single" w:sz="4" w:space="0" w:color="000000"/>
            </w:tcBorders>
          </w:tcPr>
          <w:p w:rsidR="009C4906" w:rsidRPr="0043485B" w:rsidRDefault="00E65559">
            <w:pPr>
              <w:spacing w:line="259" w:lineRule="auto"/>
              <w:ind w:left="0" w:right="40" w:firstLine="0"/>
              <w:rPr>
                <w:sz w:val="14"/>
                <w:szCs w:val="14"/>
              </w:rPr>
            </w:pPr>
            <w:r w:rsidRPr="0043485B">
              <w:rPr>
                <w:color w:val="1F497C"/>
                <w:sz w:val="14"/>
                <w:szCs w:val="14"/>
              </w:rPr>
              <w:t>System operacyjny</w:t>
            </w:r>
            <w:r w:rsidRPr="0043485B">
              <w:rPr>
                <w:sz w:val="14"/>
                <w:szCs w:val="14"/>
              </w:rPr>
              <w:t xml:space="preserve"> </w:t>
            </w:r>
          </w:p>
        </w:tc>
        <w:tc>
          <w:tcPr>
            <w:tcW w:w="7764" w:type="dxa"/>
            <w:tcBorders>
              <w:top w:val="single" w:sz="17"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both"/>
              <w:rPr>
                <w:sz w:val="14"/>
                <w:szCs w:val="14"/>
              </w:rPr>
            </w:pPr>
            <w:r w:rsidRPr="0043485B">
              <w:rPr>
                <w:b w:val="0"/>
                <w:sz w:val="14"/>
                <w:szCs w:val="14"/>
              </w:rPr>
              <w:t xml:space="preserve">System Android  w wersji minimum 8.0. </w:t>
            </w:r>
            <w:proofErr w:type="spellStart"/>
            <w:r w:rsidRPr="0043485B">
              <w:rPr>
                <w:b w:val="0"/>
                <w:sz w:val="14"/>
                <w:szCs w:val="14"/>
              </w:rPr>
              <w:t>Stockowa</w:t>
            </w:r>
            <w:proofErr w:type="spellEnd"/>
            <w:r w:rsidRPr="0043485B">
              <w:rPr>
                <w:b w:val="0"/>
                <w:sz w:val="14"/>
                <w:szCs w:val="14"/>
              </w:rPr>
              <w:t xml:space="preserve"> (producencka; bez dodatków instalowanych przez dostawcę) wersja systemu android zawierająca GMS. Polska wersja językowa systemu. </w:t>
            </w:r>
          </w:p>
        </w:tc>
      </w:tr>
      <w:tr w:rsidR="009C4906" w:rsidTr="00B83663">
        <w:trPr>
          <w:trHeight w:val="400"/>
        </w:trPr>
        <w:tc>
          <w:tcPr>
            <w:tcW w:w="2247"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40" w:lineRule="auto"/>
              <w:ind w:left="0" w:right="2" w:firstLine="0"/>
              <w:rPr>
                <w:sz w:val="14"/>
                <w:szCs w:val="14"/>
              </w:rPr>
            </w:pPr>
            <w:r w:rsidRPr="0043485B">
              <w:rPr>
                <w:color w:val="1F497C"/>
                <w:sz w:val="14"/>
                <w:szCs w:val="14"/>
              </w:rPr>
              <w:t xml:space="preserve">Wyniki w testach wydajności </w:t>
            </w:r>
            <w:proofErr w:type="spellStart"/>
            <w:r w:rsidRPr="0043485B">
              <w:rPr>
                <w:color w:val="1F497C"/>
                <w:sz w:val="14"/>
                <w:szCs w:val="14"/>
              </w:rPr>
              <w:t>Antutu</w:t>
            </w:r>
            <w:proofErr w:type="spellEnd"/>
            <w:r w:rsidRPr="0043485B">
              <w:rPr>
                <w:sz w:val="14"/>
                <w:szCs w:val="14"/>
              </w:rPr>
              <w:t xml:space="preserve"> </w:t>
            </w:r>
          </w:p>
          <w:p w:rsidR="009C4906" w:rsidRPr="0043485B" w:rsidRDefault="00E65559">
            <w:pPr>
              <w:spacing w:line="259" w:lineRule="auto"/>
              <w:ind w:left="0" w:right="36" w:firstLine="0"/>
              <w:rPr>
                <w:sz w:val="14"/>
                <w:szCs w:val="14"/>
              </w:rPr>
            </w:pPr>
            <w:r w:rsidRPr="0043485B">
              <w:rPr>
                <w:b w:val="0"/>
                <w:sz w:val="14"/>
                <w:szCs w:val="14"/>
              </w:rPr>
              <w:t>http://www.antutu.com/en/index.htm</w:t>
            </w:r>
            <w:r w:rsidRPr="0043485B">
              <w:rPr>
                <w:sz w:val="14"/>
                <w:szCs w:val="14"/>
              </w:rPr>
              <w:t xml:space="preserve">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proofErr w:type="spellStart"/>
            <w:r w:rsidRPr="0043485B">
              <w:rPr>
                <w:b w:val="0"/>
                <w:sz w:val="14"/>
                <w:szCs w:val="14"/>
              </w:rPr>
              <w:t>Score</w:t>
            </w:r>
            <w:proofErr w:type="spellEnd"/>
            <w:r w:rsidRPr="0043485B">
              <w:rPr>
                <w:b w:val="0"/>
                <w:sz w:val="14"/>
                <w:szCs w:val="14"/>
              </w:rPr>
              <w:t xml:space="preserve"> – nie mniej niż 65 tys. pkt. </w:t>
            </w:r>
          </w:p>
          <w:p w:rsidR="009C4906" w:rsidRPr="0043485B" w:rsidRDefault="00E65559">
            <w:pPr>
              <w:spacing w:line="259" w:lineRule="auto"/>
              <w:ind w:left="0" w:firstLine="0"/>
              <w:jc w:val="both"/>
              <w:rPr>
                <w:sz w:val="14"/>
                <w:szCs w:val="14"/>
              </w:rPr>
            </w:pPr>
            <w:r w:rsidRPr="0043485B">
              <w:rPr>
                <w:b w:val="0"/>
                <w:i/>
                <w:sz w:val="14"/>
                <w:szCs w:val="14"/>
              </w:rPr>
              <w:t>*Uwaga: wynik ustalony na podstawie średniej z trzech testów. Test przeprowadzony ma być bezpośrednio po wykonaniu resetu urządzenia na w pełni naładowanych bateriach oraz bez podłączania urządzenia do komputera PC lub sieci Ethernet.</w:t>
            </w:r>
            <w:r w:rsidRPr="0043485B">
              <w:rPr>
                <w:b w:val="0"/>
                <w:sz w:val="14"/>
                <w:szCs w:val="14"/>
              </w:rPr>
              <w:t xml:space="preserve"> </w:t>
            </w:r>
          </w:p>
        </w:tc>
      </w:tr>
      <w:tr w:rsidR="009C4906" w:rsidTr="00B83663">
        <w:trPr>
          <w:trHeight w:val="145"/>
        </w:trPr>
        <w:tc>
          <w:tcPr>
            <w:tcW w:w="2247"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right="40" w:firstLine="0"/>
              <w:rPr>
                <w:sz w:val="14"/>
                <w:szCs w:val="14"/>
              </w:rPr>
            </w:pPr>
            <w:r w:rsidRPr="0043485B">
              <w:rPr>
                <w:color w:val="1F497C"/>
                <w:sz w:val="14"/>
                <w:szCs w:val="14"/>
              </w:rPr>
              <w:t>Programy</w:t>
            </w:r>
            <w:r w:rsidRPr="0043485B">
              <w:rPr>
                <w:sz w:val="14"/>
                <w:szCs w:val="14"/>
              </w:rPr>
              <w:t xml:space="preserve">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r w:rsidRPr="0043485B">
              <w:rPr>
                <w:b w:val="0"/>
                <w:sz w:val="14"/>
                <w:szCs w:val="14"/>
              </w:rPr>
              <w:t xml:space="preserve">Możliwość uruchomienia i poprawnego działania programu klienta EMM wykorzystywanego w PGL LP.  </w:t>
            </w:r>
          </w:p>
        </w:tc>
      </w:tr>
      <w:tr w:rsidR="009C4906" w:rsidTr="00B83663">
        <w:trPr>
          <w:trHeight w:val="159"/>
        </w:trPr>
        <w:tc>
          <w:tcPr>
            <w:tcW w:w="2247"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right="38" w:firstLine="0"/>
              <w:rPr>
                <w:sz w:val="14"/>
                <w:szCs w:val="14"/>
              </w:rPr>
            </w:pPr>
            <w:r w:rsidRPr="0043485B">
              <w:rPr>
                <w:color w:val="1F497C"/>
                <w:sz w:val="14"/>
                <w:szCs w:val="14"/>
              </w:rPr>
              <w:t xml:space="preserve">Pamięć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r w:rsidRPr="0043485B">
              <w:rPr>
                <w:b w:val="0"/>
                <w:sz w:val="14"/>
                <w:szCs w:val="14"/>
              </w:rPr>
              <w:t xml:space="preserve">RAM min. 3 GB. FLASH  min. 24 GB. </w:t>
            </w:r>
          </w:p>
        </w:tc>
      </w:tr>
      <w:tr w:rsidR="009C4906" w:rsidTr="00B83663">
        <w:trPr>
          <w:trHeight w:val="283"/>
        </w:trPr>
        <w:tc>
          <w:tcPr>
            <w:tcW w:w="2247"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right="39" w:firstLine="0"/>
              <w:rPr>
                <w:sz w:val="14"/>
                <w:szCs w:val="14"/>
              </w:rPr>
            </w:pPr>
            <w:r w:rsidRPr="0043485B">
              <w:rPr>
                <w:color w:val="1F497C"/>
                <w:sz w:val="14"/>
                <w:szCs w:val="14"/>
              </w:rPr>
              <w:t>Gniazda rozszerzeń</w:t>
            </w:r>
            <w:r w:rsidRPr="0043485B">
              <w:rPr>
                <w:sz w:val="14"/>
                <w:szCs w:val="14"/>
              </w:rPr>
              <w:t xml:space="preserve">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both"/>
              <w:rPr>
                <w:sz w:val="14"/>
                <w:szCs w:val="14"/>
              </w:rPr>
            </w:pPr>
            <w:r w:rsidRPr="0043485B">
              <w:rPr>
                <w:b w:val="0"/>
                <w:sz w:val="14"/>
                <w:szCs w:val="14"/>
              </w:rPr>
              <w:t xml:space="preserve">W przypadku gdy pamięć FLASH jest poniżej 64 GB urządzenie musi być wyposażone w kartę micro SD min. 64 GB, o maksymalnej prędkość zapisu nie mniejszej niż 20 MB/s  oraz maksymalnej prędkości odczytu nie mniej niż 20 MB/s. </w:t>
            </w:r>
          </w:p>
        </w:tc>
      </w:tr>
      <w:tr w:rsidR="009C4906" w:rsidTr="00B83663">
        <w:trPr>
          <w:trHeight w:val="609"/>
        </w:trPr>
        <w:tc>
          <w:tcPr>
            <w:tcW w:w="2247" w:type="dxa"/>
            <w:vMerge w:val="restart"/>
            <w:tcBorders>
              <w:top w:val="single" w:sz="4" w:space="0" w:color="000000"/>
              <w:left w:val="single" w:sz="4" w:space="0" w:color="000000"/>
              <w:bottom w:val="single" w:sz="4" w:space="0" w:color="000000"/>
              <w:right w:val="single" w:sz="4" w:space="0" w:color="000000"/>
            </w:tcBorders>
            <w:vAlign w:val="center"/>
          </w:tcPr>
          <w:p w:rsidR="009C4906" w:rsidRPr="0043485B" w:rsidRDefault="00E65559">
            <w:pPr>
              <w:spacing w:line="259" w:lineRule="auto"/>
              <w:ind w:left="0" w:right="42" w:firstLine="0"/>
              <w:rPr>
                <w:sz w:val="14"/>
                <w:szCs w:val="14"/>
              </w:rPr>
            </w:pPr>
            <w:r w:rsidRPr="0043485B">
              <w:rPr>
                <w:color w:val="1F497C"/>
                <w:sz w:val="14"/>
                <w:szCs w:val="14"/>
              </w:rPr>
              <w:t>Porty WE/WY</w:t>
            </w:r>
            <w:r w:rsidRPr="0043485B">
              <w:rPr>
                <w:sz w:val="14"/>
                <w:szCs w:val="14"/>
              </w:rPr>
              <w:t xml:space="preserve">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r w:rsidRPr="0043485B">
              <w:rPr>
                <w:b w:val="0"/>
                <w:sz w:val="14"/>
                <w:szCs w:val="14"/>
              </w:rPr>
              <w:t xml:space="preserve">Zintegrowany w rejestratorze Bluetooth min. v.4.0, NFC, Wi-Fi (2.4 GHz i 5 GHz) 802.11 a/b/g/n </w:t>
            </w:r>
          </w:p>
          <w:p w:rsidR="009C4906" w:rsidRPr="0043485B" w:rsidRDefault="00E65559">
            <w:pPr>
              <w:spacing w:line="239" w:lineRule="auto"/>
              <w:ind w:left="0" w:firstLine="0"/>
              <w:jc w:val="both"/>
              <w:rPr>
                <w:sz w:val="14"/>
                <w:szCs w:val="14"/>
              </w:rPr>
            </w:pPr>
            <w:r w:rsidRPr="0043485B">
              <w:rPr>
                <w:b w:val="0"/>
                <w:sz w:val="14"/>
                <w:szCs w:val="14"/>
              </w:rPr>
              <w:t xml:space="preserve">Wbudowany moduł GSM/GPRS/LTE umożliwiający zastosowanie karty SIM operatora sieci komórkowej działającego w Polsce i świadczącego dedykowaną usługę APN dla PGL LP. </w:t>
            </w:r>
          </w:p>
          <w:p w:rsidR="009C4906" w:rsidRPr="0043485B" w:rsidRDefault="00E65559">
            <w:pPr>
              <w:spacing w:line="259" w:lineRule="auto"/>
              <w:ind w:left="0" w:firstLine="0"/>
              <w:jc w:val="left"/>
              <w:rPr>
                <w:sz w:val="14"/>
                <w:szCs w:val="14"/>
              </w:rPr>
            </w:pPr>
            <w:r w:rsidRPr="0043485B">
              <w:rPr>
                <w:b w:val="0"/>
                <w:sz w:val="14"/>
                <w:szCs w:val="14"/>
              </w:rPr>
              <w:t xml:space="preserve">Bezkolizyjna jednoczesna praca wszystkich wbudowanych w rejestrator urządzeń radiowych. </w:t>
            </w:r>
          </w:p>
        </w:tc>
      </w:tr>
      <w:tr w:rsidR="009C4906" w:rsidTr="00B83663">
        <w:trPr>
          <w:trHeight w:val="244"/>
        </w:trPr>
        <w:tc>
          <w:tcPr>
            <w:tcW w:w="0" w:type="auto"/>
            <w:vMerge/>
            <w:tcBorders>
              <w:top w:val="nil"/>
              <w:left w:val="single" w:sz="4" w:space="0" w:color="000000"/>
              <w:bottom w:val="single" w:sz="4" w:space="0" w:color="000000"/>
              <w:right w:val="single" w:sz="4" w:space="0" w:color="000000"/>
            </w:tcBorders>
          </w:tcPr>
          <w:p w:rsidR="009C4906" w:rsidRPr="0043485B" w:rsidRDefault="009C4906">
            <w:pPr>
              <w:spacing w:after="160" w:line="259" w:lineRule="auto"/>
              <w:ind w:left="0" w:firstLine="0"/>
              <w:jc w:val="left"/>
              <w:rPr>
                <w:sz w:val="14"/>
                <w:szCs w:val="14"/>
              </w:rPr>
            </w:pP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r w:rsidRPr="0043485B">
              <w:rPr>
                <w:b w:val="0"/>
                <w:sz w:val="14"/>
                <w:szCs w:val="14"/>
              </w:rPr>
              <w:t xml:space="preserve">Port USB OTG (On-The-Go) wyprowadzony bezpośrednio w urządzeniu lub dostępny za pomocą kabla z identycznym wyprowadzeniem. </w:t>
            </w:r>
          </w:p>
        </w:tc>
      </w:tr>
      <w:tr w:rsidR="009C4906" w:rsidTr="00B83663">
        <w:trPr>
          <w:trHeight w:val="283"/>
        </w:trPr>
        <w:tc>
          <w:tcPr>
            <w:tcW w:w="2247"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rPr>
                <w:sz w:val="14"/>
                <w:szCs w:val="14"/>
              </w:rPr>
            </w:pPr>
            <w:r w:rsidRPr="0043485B">
              <w:rPr>
                <w:color w:val="1F497C"/>
                <w:sz w:val="14"/>
                <w:szCs w:val="14"/>
              </w:rPr>
              <w:t xml:space="preserve">Wbudowany moduł </w:t>
            </w:r>
            <w:proofErr w:type="spellStart"/>
            <w:r w:rsidRPr="0043485B">
              <w:rPr>
                <w:color w:val="1F497C"/>
                <w:sz w:val="14"/>
                <w:szCs w:val="14"/>
              </w:rPr>
              <w:t>geolokalizacji</w:t>
            </w:r>
            <w:proofErr w:type="spellEnd"/>
            <w:r w:rsidRPr="0043485B">
              <w:rPr>
                <w:sz w:val="14"/>
                <w:szCs w:val="14"/>
              </w:rPr>
              <w:t xml:space="preserve">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r w:rsidRPr="0043485B">
              <w:rPr>
                <w:b w:val="0"/>
                <w:sz w:val="14"/>
                <w:szCs w:val="14"/>
              </w:rPr>
              <w:t xml:space="preserve">Moduł GPS montowany fabrycznie przez producenta, kompatybilny z systemem GPS i/lub  GLONASS i/lub GALILEO. </w:t>
            </w:r>
          </w:p>
        </w:tc>
      </w:tr>
      <w:tr w:rsidR="009C4906" w:rsidTr="00B83663">
        <w:trPr>
          <w:trHeight w:val="147"/>
        </w:trPr>
        <w:tc>
          <w:tcPr>
            <w:tcW w:w="2247"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right="42" w:firstLine="0"/>
              <w:rPr>
                <w:sz w:val="14"/>
                <w:szCs w:val="14"/>
              </w:rPr>
            </w:pPr>
            <w:r w:rsidRPr="0043485B">
              <w:rPr>
                <w:color w:val="1F497C"/>
                <w:sz w:val="14"/>
                <w:szCs w:val="14"/>
              </w:rPr>
              <w:t xml:space="preserve">Wbudowane czujniki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r w:rsidRPr="0043485B">
              <w:rPr>
                <w:b w:val="0"/>
                <w:sz w:val="14"/>
                <w:szCs w:val="14"/>
              </w:rPr>
              <w:t xml:space="preserve">Akcelerometr, czujnik oświetlenia, czujnik zbliżeniowy, żyroskop. </w:t>
            </w:r>
          </w:p>
        </w:tc>
      </w:tr>
      <w:tr w:rsidR="009C4906" w:rsidTr="00B83663">
        <w:trPr>
          <w:trHeight w:val="558"/>
        </w:trPr>
        <w:tc>
          <w:tcPr>
            <w:tcW w:w="2247" w:type="dxa"/>
            <w:tcBorders>
              <w:top w:val="single" w:sz="4" w:space="0" w:color="000000"/>
              <w:left w:val="single" w:sz="4" w:space="0" w:color="000000"/>
              <w:bottom w:val="single" w:sz="4" w:space="0" w:color="000000"/>
              <w:right w:val="single" w:sz="4" w:space="0" w:color="000000"/>
            </w:tcBorders>
            <w:vAlign w:val="center"/>
          </w:tcPr>
          <w:p w:rsidR="009C4906" w:rsidRPr="0043485B" w:rsidRDefault="00E65559">
            <w:pPr>
              <w:spacing w:line="259" w:lineRule="auto"/>
              <w:ind w:left="0" w:right="38" w:firstLine="0"/>
              <w:rPr>
                <w:sz w:val="14"/>
                <w:szCs w:val="14"/>
              </w:rPr>
            </w:pPr>
            <w:r w:rsidRPr="0043485B">
              <w:rPr>
                <w:color w:val="1F497C"/>
                <w:sz w:val="14"/>
                <w:szCs w:val="14"/>
              </w:rPr>
              <w:t>Wyświetlacz</w:t>
            </w:r>
            <w:r w:rsidRPr="0043485B">
              <w:rPr>
                <w:sz w:val="14"/>
                <w:szCs w:val="14"/>
              </w:rPr>
              <w:t xml:space="preserve">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72" w:lineRule="auto"/>
              <w:ind w:left="0" w:firstLine="0"/>
              <w:jc w:val="both"/>
              <w:rPr>
                <w:sz w:val="14"/>
                <w:szCs w:val="14"/>
              </w:rPr>
            </w:pPr>
            <w:r w:rsidRPr="0043485B">
              <w:rPr>
                <w:b w:val="0"/>
                <w:sz w:val="14"/>
                <w:szCs w:val="14"/>
              </w:rPr>
              <w:t xml:space="preserve">Kolorowy, podświetlany ekran dotykowy min. 4,7” min. 720x1280 </w:t>
            </w:r>
            <w:proofErr w:type="spellStart"/>
            <w:r w:rsidRPr="0043485B">
              <w:rPr>
                <w:b w:val="0"/>
                <w:sz w:val="14"/>
                <w:szCs w:val="14"/>
              </w:rPr>
              <w:t>pix</w:t>
            </w:r>
            <w:proofErr w:type="spellEnd"/>
            <w:r w:rsidRPr="0043485B">
              <w:rPr>
                <w:b w:val="0"/>
                <w:sz w:val="14"/>
                <w:szCs w:val="14"/>
              </w:rPr>
              <w:t xml:space="preserve"> max 6,5”. Zabezpieczony  </w:t>
            </w:r>
            <w:proofErr w:type="spellStart"/>
            <w:r w:rsidRPr="0043485B">
              <w:rPr>
                <w:b w:val="0"/>
                <w:sz w:val="14"/>
                <w:szCs w:val="14"/>
              </w:rPr>
              <w:t>Gorilla</w:t>
            </w:r>
            <w:proofErr w:type="spellEnd"/>
            <w:r w:rsidRPr="0043485B">
              <w:rPr>
                <w:b w:val="0"/>
                <w:sz w:val="14"/>
                <w:szCs w:val="14"/>
              </w:rPr>
              <w:t xml:space="preserve"> Glass 3.  Ekran obsługiwany również w rękawiczce nieposiadającej specjalnej powierzchni kompatybilnej z ekranem. </w:t>
            </w:r>
          </w:p>
          <w:p w:rsidR="009C4906" w:rsidRPr="0043485B" w:rsidRDefault="00E65559">
            <w:pPr>
              <w:spacing w:line="259" w:lineRule="auto"/>
              <w:ind w:left="0" w:firstLine="0"/>
              <w:jc w:val="both"/>
              <w:rPr>
                <w:sz w:val="14"/>
                <w:szCs w:val="14"/>
              </w:rPr>
            </w:pPr>
            <w:r w:rsidRPr="0043485B">
              <w:rPr>
                <w:b w:val="0"/>
                <w:sz w:val="14"/>
                <w:szCs w:val="14"/>
              </w:rPr>
              <w:t xml:space="preserve">W przypadku większej przekątnej (od 5,5 do 6,5”) wymagane są proporcje ekranu: 18:9, 19:9 lub inne, umożliwiające chwyt urządzenia w dłoni i obsługę urządzenia jedną ręką. </w:t>
            </w:r>
          </w:p>
        </w:tc>
      </w:tr>
      <w:tr w:rsidR="009C4906" w:rsidTr="00B83663">
        <w:trPr>
          <w:trHeight w:val="145"/>
        </w:trPr>
        <w:tc>
          <w:tcPr>
            <w:tcW w:w="2247"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right="40" w:firstLine="0"/>
              <w:rPr>
                <w:sz w:val="14"/>
                <w:szCs w:val="14"/>
              </w:rPr>
            </w:pPr>
            <w:r w:rsidRPr="0043485B">
              <w:rPr>
                <w:color w:val="1F497C"/>
                <w:sz w:val="14"/>
                <w:szCs w:val="14"/>
              </w:rPr>
              <w:t>Klawiatura</w:t>
            </w:r>
            <w:r w:rsidRPr="0043485B">
              <w:rPr>
                <w:sz w:val="14"/>
                <w:szCs w:val="14"/>
              </w:rPr>
              <w:t xml:space="preserve">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r w:rsidRPr="0043485B">
              <w:rPr>
                <w:b w:val="0"/>
                <w:sz w:val="14"/>
                <w:szCs w:val="14"/>
              </w:rPr>
              <w:t xml:space="preserve">Ekranowa.  Funkcyjne przyciski fizyczne urządzenia: zasilania, siły głosu. </w:t>
            </w:r>
          </w:p>
        </w:tc>
      </w:tr>
      <w:tr w:rsidR="009C4906" w:rsidTr="00B83663">
        <w:trPr>
          <w:trHeight w:val="147"/>
        </w:trPr>
        <w:tc>
          <w:tcPr>
            <w:tcW w:w="2247"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right="39" w:firstLine="0"/>
              <w:rPr>
                <w:sz w:val="14"/>
                <w:szCs w:val="14"/>
              </w:rPr>
            </w:pPr>
            <w:r w:rsidRPr="0043485B">
              <w:rPr>
                <w:color w:val="1F497C"/>
                <w:sz w:val="14"/>
                <w:szCs w:val="14"/>
              </w:rPr>
              <w:t>Dźwięk</w:t>
            </w:r>
            <w:r w:rsidRPr="0043485B">
              <w:rPr>
                <w:sz w:val="14"/>
                <w:szCs w:val="14"/>
              </w:rPr>
              <w:t xml:space="preserve">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r w:rsidRPr="0043485B">
              <w:rPr>
                <w:b w:val="0"/>
                <w:sz w:val="14"/>
                <w:szCs w:val="14"/>
              </w:rPr>
              <w:t xml:space="preserve">Głośnik i mikrofon. </w:t>
            </w:r>
          </w:p>
        </w:tc>
      </w:tr>
      <w:tr w:rsidR="009C4906" w:rsidTr="00B83663">
        <w:trPr>
          <w:trHeight w:val="145"/>
        </w:trPr>
        <w:tc>
          <w:tcPr>
            <w:tcW w:w="2247"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right="40" w:firstLine="0"/>
              <w:rPr>
                <w:sz w:val="14"/>
                <w:szCs w:val="14"/>
              </w:rPr>
            </w:pPr>
            <w:r w:rsidRPr="0043485B">
              <w:rPr>
                <w:color w:val="1F497C"/>
                <w:sz w:val="14"/>
                <w:szCs w:val="14"/>
              </w:rPr>
              <w:t xml:space="preserve">Aparat fotograficzny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r w:rsidRPr="0043485B">
              <w:rPr>
                <w:b w:val="0"/>
                <w:sz w:val="14"/>
                <w:szCs w:val="14"/>
              </w:rPr>
              <w:t xml:space="preserve">Wbudowany. Rozdzielczość min. 8 MP. </w:t>
            </w:r>
          </w:p>
        </w:tc>
      </w:tr>
      <w:tr w:rsidR="009C4906" w:rsidTr="00B83663">
        <w:trPr>
          <w:trHeight w:val="367"/>
        </w:trPr>
        <w:tc>
          <w:tcPr>
            <w:tcW w:w="2247" w:type="dxa"/>
            <w:tcBorders>
              <w:top w:val="single" w:sz="4" w:space="0" w:color="000000"/>
              <w:left w:val="single" w:sz="4" w:space="0" w:color="000000"/>
              <w:bottom w:val="single" w:sz="4" w:space="0" w:color="000000"/>
              <w:right w:val="single" w:sz="4" w:space="0" w:color="000000"/>
            </w:tcBorders>
            <w:vAlign w:val="center"/>
          </w:tcPr>
          <w:p w:rsidR="009C4906" w:rsidRPr="0043485B" w:rsidRDefault="00E65559">
            <w:pPr>
              <w:spacing w:line="259" w:lineRule="auto"/>
              <w:ind w:left="0" w:right="40" w:firstLine="0"/>
              <w:rPr>
                <w:sz w:val="14"/>
                <w:szCs w:val="14"/>
              </w:rPr>
            </w:pPr>
            <w:r w:rsidRPr="0043485B">
              <w:rPr>
                <w:color w:val="1F497C"/>
                <w:sz w:val="14"/>
                <w:szCs w:val="14"/>
              </w:rPr>
              <w:t xml:space="preserve">Zasilanie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right="3471" w:firstLine="0"/>
              <w:jc w:val="left"/>
              <w:rPr>
                <w:sz w:val="14"/>
                <w:szCs w:val="14"/>
              </w:rPr>
            </w:pPr>
            <w:r w:rsidRPr="0043485B">
              <w:rPr>
                <w:b w:val="0"/>
                <w:sz w:val="14"/>
                <w:szCs w:val="14"/>
              </w:rPr>
              <w:t xml:space="preserve">Oryginalna dla oferowanego urządzenia, ładowalna bateria główna. Ładowarka sieciowa i ładowarka samochodowa. </w:t>
            </w:r>
          </w:p>
        </w:tc>
      </w:tr>
      <w:tr w:rsidR="009C4906" w:rsidTr="00B83663">
        <w:trPr>
          <w:trHeight w:val="501"/>
        </w:trPr>
        <w:tc>
          <w:tcPr>
            <w:tcW w:w="2247" w:type="dxa"/>
            <w:tcBorders>
              <w:top w:val="single" w:sz="4" w:space="0" w:color="000000"/>
              <w:left w:val="single" w:sz="4" w:space="0" w:color="000000"/>
              <w:bottom w:val="single" w:sz="4" w:space="0" w:color="000000"/>
              <w:right w:val="single" w:sz="4" w:space="0" w:color="000000"/>
            </w:tcBorders>
            <w:vAlign w:val="center"/>
          </w:tcPr>
          <w:p w:rsidR="009C4906" w:rsidRPr="0043485B" w:rsidRDefault="00E65559">
            <w:pPr>
              <w:spacing w:line="259" w:lineRule="auto"/>
              <w:ind w:left="0" w:right="42" w:firstLine="0"/>
              <w:rPr>
                <w:sz w:val="14"/>
                <w:szCs w:val="14"/>
              </w:rPr>
            </w:pPr>
            <w:r w:rsidRPr="0043485B">
              <w:rPr>
                <w:color w:val="1F497C"/>
                <w:sz w:val="14"/>
                <w:szCs w:val="14"/>
              </w:rPr>
              <w:t xml:space="preserve">Warunki pracy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r w:rsidRPr="0043485B">
              <w:rPr>
                <w:b w:val="0"/>
                <w:sz w:val="14"/>
                <w:szCs w:val="14"/>
              </w:rPr>
              <w:t xml:space="preserve">Spełnienie stopnia ochrony min.IP65 wg PN-92/E-08106 lub IEC529.  </w:t>
            </w:r>
          </w:p>
          <w:p w:rsidR="009C4906" w:rsidRPr="0043485B" w:rsidRDefault="00E65559">
            <w:pPr>
              <w:spacing w:line="259" w:lineRule="auto"/>
              <w:ind w:left="0" w:firstLine="0"/>
              <w:jc w:val="left"/>
              <w:rPr>
                <w:sz w:val="14"/>
                <w:szCs w:val="14"/>
              </w:rPr>
            </w:pPr>
            <w:r w:rsidRPr="0043485B">
              <w:rPr>
                <w:b w:val="0"/>
                <w:i/>
                <w:sz w:val="14"/>
                <w:szCs w:val="14"/>
              </w:rPr>
              <w:t xml:space="preserve">Odporność na warunki środowiskowe można zadeklarować w odniesieniu do norm badań środowiskowych ze specyfikacji </w:t>
            </w:r>
            <w:r w:rsidRPr="0043485B">
              <w:rPr>
                <w:i/>
                <w:sz w:val="14"/>
                <w:szCs w:val="14"/>
              </w:rPr>
              <w:t xml:space="preserve">PN-EN 60068 </w:t>
            </w:r>
            <w:r w:rsidRPr="0043485B">
              <w:rPr>
                <w:b w:val="0"/>
                <w:i/>
                <w:sz w:val="14"/>
                <w:szCs w:val="14"/>
              </w:rPr>
              <w:t xml:space="preserve">(PN-EN 60068-2-1:2009, </w:t>
            </w:r>
          </w:p>
          <w:p w:rsidR="009C4906" w:rsidRPr="0043485B" w:rsidRDefault="00E65559">
            <w:pPr>
              <w:spacing w:line="259" w:lineRule="auto"/>
              <w:ind w:left="0" w:firstLine="0"/>
              <w:jc w:val="both"/>
              <w:rPr>
                <w:sz w:val="14"/>
                <w:szCs w:val="14"/>
              </w:rPr>
            </w:pPr>
            <w:r w:rsidRPr="0043485B">
              <w:rPr>
                <w:b w:val="0"/>
                <w:i/>
                <w:sz w:val="14"/>
                <w:szCs w:val="14"/>
              </w:rPr>
              <w:t>PN-EN 60068-2-2:2009, PN-EN 60068-2-5:2011, PN-EN 60068-2-10:2007, PN-EN 60068-2-14:2009, PN-EN 60068-2-18:2008, PN-EN 60068-2-31:2010, PNEN 60068-2-38:2010/Ap1:2011).</w:t>
            </w:r>
            <w:r w:rsidRPr="0043485B">
              <w:rPr>
                <w:b w:val="0"/>
                <w:sz w:val="14"/>
                <w:szCs w:val="14"/>
              </w:rPr>
              <w:t xml:space="preserve"> </w:t>
            </w:r>
          </w:p>
        </w:tc>
      </w:tr>
      <w:tr w:rsidR="009C4906" w:rsidTr="00B83663">
        <w:trPr>
          <w:trHeight w:val="172"/>
        </w:trPr>
        <w:tc>
          <w:tcPr>
            <w:tcW w:w="2247"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right="37" w:firstLine="0"/>
              <w:rPr>
                <w:sz w:val="14"/>
                <w:szCs w:val="14"/>
              </w:rPr>
            </w:pPr>
            <w:r w:rsidRPr="0043485B">
              <w:rPr>
                <w:color w:val="1F497C"/>
                <w:sz w:val="14"/>
                <w:szCs w:val="14"/>
              </w:rPr>
              <w:t xml:space="preserve">Masa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r w:rsidRPr="0043485B">
              <w:rPr>
                <w:b w:val="0"/>
                <w:sz w:val="14"/>
                <w:szCs w:val="14"/>
              </w:rPr>
              <w:t xml:space="preserve">Maksymalnie 400 g z baterią i wszystkimi wymaganymi wewnętrznymi  modułami (kartami). </w:t>
            </w:r>
          </w:p>
        </w:tc>
      </w:tr>
      <w:tr w:rsidR="009C4906" w:rsidTr="00B83663">
        <w:trPr>
          <w:trHeight w:val="697"/>
        </w:trPr>
        <w:tc>
          <w:tcPr>
            <w:tcW w:w="2247" w:type="dxa"/>
            <w:tcBorders>
              <w:top w:val="single" w:sz="4" w:space="0" w:color="000000"/>
              <w:left w:val="single" w:sz="4" w:space="0" w:color="000000"/>
              <w:bottom w:val="single" w:sz="4" w:space="0" w:color="000000"/>
              <w:right w:val="single" w:sz="4" w:space="0" w:color="000000"/>
            </w:tcBorders>
            <w:vAlign w:val="center"/>
          </w:tcPr>
          <w:p w:rsidR="009C4906" w:rsidRPr="0043485B" w:rsidRDefault="00E65559">
            <w:pPr>
              <w:spacing w:line="259" w:lineRule="auto"/>
              <w:ind w:left="0" w:right="42" w:firstLine="0"/>
              <w:rPr>
                <w:sz w:val="14"/>
                <w:szCs w:val="14"/>
              </w:rPr>
            </w:pPr>
            <w:r w:rsidRPr="0043485B">
              <w:rPr>
                <w:color w:val="1F497C"/>
                <w:sz w:val="14"/>
                <w:szCs w:val="14"/>
              </w:rPr>
              <w:t>Certyfikaty</w:t>
            </w:r>
            <w:r w:rsidRPr="0043485B">
              <w:rPr>
                <w:sz w:val="14"/>
                <w:szCs w:val="14"/>
              </w:rPr>
              <w:t xml:space="preserve">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39" w:lineRule="auto"/>
              <w:ind w:left="0" w:firstLine="0"/>
              <w:jc w:val="both"/>
              <w:rPr>
                <w:sz w:val="14"/>
                <w:szCs w:val="14"/>
              </w:rPr>
            </w:pPr>
            <w:r w:rsidRPr="0043485B">
              <w:rPr>
                <w:b w:val="0"/>
                <w:sz w:val="14"/>
                <w:szCs w:val="14"/>
              </w:rPr>
              <w:t xml:space="preserve">Rozporządzeniu Ministra Rozwoju i Finansów z dnia 21 grudnia 2016 r. w sprawie zasadniczych wymagań dotyczących ograniczenia stosowania niektórych niebezpiecznych substancji w sprzęcie elektrycznym i elektronicznym (Dz.U. 2017 poz. 7 i Dz.U. 2018 poz. 1617). </w:t>
            </w:r>
          </w:p>
          <w:p w:rsidR="009C4906" w:rsidRPr="0043485B" w:rsidRDefault="00E65559">
            <w:pPr>
              <w:spacing w:line="259" w:lineRule="auto"/>
              <w:ind w:left="0" w:firstLine="0"/>
              <w:jc w:val="left"/>
              <w:rPr>
                <w:sz w:val="14"/>
                <w:szCs w:val="14"/>
              </w:rPr>
            </w:pPr>
            <w:r w:rsidRPr="0043485B">
              <w:rPr>
                <w:b w:val="0"/>
                <w:sz w:val="14"/>
                <w:szCs w:val="14"/>
              </w:rPr>
              <w:t xml:space="preserve">Rozporządzenie Ministra Rozwoju z dnia 2 czerwca 2016 r. w sprawie wymagań dla sprzętu elektrycznego (Dz.U.16.806). </w:t>
            </w:r>
          </w:p>
          <w:p w:rsidR="009C4906" w:rsidRPr="0043485B" w:rsidRDefault="00E65559">
            <w:pPr>
              <w:spacing w:line="259" w:lineRule="auto"/>
              <w:ind w:left="0" w:firstLine="0"/>
              <w:jc w:val="left"/>
              <w:rPr>
                <w:sz w:val="14"/>
                <w:szCs w:val="14"/>
              </w:rPr>
            </w:pPr>
            <w:r w:rsidRPr="0043485B">
              <w:rPr>
                <w:b w:val="0"/>
                <w:sz w:val="14"/>
                <w:szCs w:val="14"/>
              </w:rPr>
              <w:t xml:space="preserve">Ustawa z dnia 13 kwietnia 2007 r. o kompatybilności elektromagnetycznej (Dz.U.16.1258). </w:t>
            </w:r>
          </w:p>
          <w:p w:rsidR="009C4906" w:rsidRPr="0043485B" w:rsidRDefault="00E65559">
            <w:pPr>
              <w:spacing w:line="259" w:lineRule="auto"/>
              <w:ind w:left="0" w:firstLine="0"/>
              <w:jc w:val="left"/>
              <w:rPr>
                <w:sz w:val="14"/>
                <w:szCs w:val="14"/>
              </w:rPr>
            </w:pPr>
            <w:r w:rsidRPr="0043485B">
              <w:rPr>
                <w:b w:val="0"/>
                <w:sz w:val="14"/>
                <w:szCs w:val="14"/>
              </w:rPr>
              <w:t xml:space="preserve">Urządzenie musi spełniać standardy </w:t>
            </w:r>
            <w:proofErr w:type="spellStart"/>
            <w:r w:rsidRPr="0043485B">
              <w:rPr>
                <w:b w:val="0"/>
                <w:sz w:val="14"/>
                <w:szCs w:val="14"/>
              </w:rPr>
              <w:t>RoHS</w:t>
            </w:r>
            <w:proofErr w:type="spellEnd"/>
            <w:r w:rsidRPr="0043485B">
              <w:rPr>
                <w:b w:val="0"/>
                <w:sz w:val="14"/>
                <w:szCs w:val="14"/>
              </w:rPr>
              <w:t xml:space="preserve"> </w:t>
            </w:r>
            <w:proofErr w:type="spellStart"/>
            <w:r w:rsidRPr="0043485B">
              <w:rPr>
                <w:b w:val="0"/>
                <w:sz w:val="14"/>
                <w:szCs w:val="14"/>
              </w:rPr>
              <w:t>Compliant</w:t>
            </w:r>
            <w:proofErr w:type="spellEnd"/>
            <w:r w:rsidRPr="0043485B">
              <w:rPr>
                <w:b w:val="0"/>
                <w:sz w:val="14"/>
                <w:szCs w:val="14"/>
              </w:rPr>
              <w:t xml:space="preserve">. Spełnienie powyższych wymagań musi być potwierdzone w oświadczeniu dostawcy. </w:t>
            </w:r>
          </w:p>
        </w:tc>
      </w:tr>
      <w:tr w:rsidR="009C4906" w:rsidTr="00B83663">
        <w:trPr>
          <w:trHeight w:val="1523"/>
        </w:trPr>
        <w:tc>
          <w:tcPr>
            <w:tcW w:w="2247" w:type="dxa"/>
            <w:tcBorders>
              <w:top w:val="single" w:sz="4" w:space="0" w:color="000000"/>
              <w:left w:val="single" w:sz="4" w:space="0" w:color="000000"/>
              <w:bottom w:val="single" w:sz="4" w:space="0" w:color="000000"/>
              <w:right w:val="single" w:sz="4" w:space="0" w:color="000000"/>
            </w:tcBorders>
            <w:vAlign w:val="center"/>
          </w:tcPr>
          <w:p w:rsidR="009C4906" w:rsidRPr="0043485B" w:rsidRDefault="00E65559">
            <w:pPr>
              <w:spacing w:after="3" w:line="240" w:lineRule="auto"/>
              <w:ind w:left="132" w:firstLine="22"/>
              <w:jc w:val="both"/>
              <w:rPr>
                <w:sz w:val="14"/>
                <w:szCs w:val="14"/>
              </w:rPr>
            </w:pPr>
            <w:r w:rsidRPr="0043485B">
              <w:rPr>
                <w:color w:val="1F497C"/>
                <w:sz w:val="14"/>
                <w:szCs w:val="14"/>
              </w:rPr>
              <w:t xml:space="preserve">Gwarancja  i poprawki bezpieczeństwa systemu </w:t>
            </w:r>
          </w:p>
          <w:p w:rsidR="009C4906" w:rsidRPr="0043485B" w:rsidRDefault="00E65559">
            <w:pPr>
              <w:spacing w:line="259" w:lineRule="auto"/>
              <w:ind w:left="0" w:right="39" w:firstLine="0"/>
              <w:rPr>
                <w:sz w:val="14"/>
                <w:szCs w:val="14"/>
              </w:rPr>
            </w:pPr>
            <w:r w:rsidRPr="0043485B">
              <w:rPr>
                <w:color w:val="1F497C"/>
                <w:sz w:val="14"/>
                <w:szCs w:val="14"/>
              </w:rPr>
              <w:t>Android</w:t>
            </w:r>
            <w:r w:rsidRPr="0043485B">
              <w:rPr>
                <w:sz w:val="14"/>
                <w:szCs w:val="14"/>
              </w:rPr>
              <w:t xml:space="preserve">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r w:rsidRPr="0043485B">
              <w:rPr>
                <w:b w:val="0"/>
                <w:sz w:val="14"/>
                <w:szCs w:val="14"/>
              </w:rPr>
              <w:t xml:space="preserve">Minimum 36 miesięcy; dostarczenie  w ciągu 2 dni roboczych  sprzętu zastępczego na czas naprawy.  </w:t>
            </w:r>
          </w:p>
          <w:p w:rsidR="009C4906" w:rsidRPr="0043485B" w:rsidRDefault="00E65559">
            <w:pPr>
              <w:spacing w:line="259" w:lineRule="auto"/>
              <w:ind w:left="0" w:firstLine="0"/>
              <w:jc w:val="left"/>
              <w:rPr>
                <w:sz w:val="14"/>
                <w:szCs w:val="14"/>
              </w:rPr>
            </w:pPr>
            <w:r w:rsidRPr="0043485B">
              <w:rPr>
                <w:b w:val="0"/>
                <w:sz w:val="14"/>
                <w:szCs w:val="14"/>
              </w:rPr>
              <w:t xml:space="preserve">Koszty dostawy do i z serwisu pokrywa dostawca. </w:t>
            </w:r>
          </w:p>
          <w:p w:rsidR="009C4906" w:rsidRPr="0043485B" w:rsidRDefault="00E65559">
            <w:pPr>
              <w:spacing w:line="241" w:lineRule="auto"/>
              <w:ind w:left="0" w:right="32" w:firstLine="0"/>
              <w:jc w:val="both"/>
              <w:rPr>
                <w:sz w:val="14"/>
                <w:szCs w:val="14"/>
              </w:rPr>
            </w:pPr>
            <w:r w:rsidRPr="0043485B">
              <w:rPr>
                <w:b w:val="0"/>
                <w:sz w:val="14"/>
                <w:szCs w:val="14"/>
              </w:rPr>
              <w:t xml:space="preserve">Rejestratory muszą spełniać rekomendowane przez firmę Google  minimalne wymagania (jeśli nie są doprecyzowane wprost w niniejszym dokumencie minimalnych wymagań) opisane w punkcie </w:t>
            </w:r>
            <w:r w:rsidRPr="0043485B">
              <w:rPr>
                <w:b w:val="0"/>
                <w:i/>
                <w:sz w:val="14"/>
                <w:szCs w:val="14"/>
              </w:rPr>
              <w:t>Services</w:t>
            </w:r>
            <w:r w:rsidRPr="0043485B">
              <w:rPr>
                <w:b w:val="0"/>
                <w:sz w:val="14"/>
                <w:szCs w:val="14"/>
              </w:rPr>
              <w:t xml:space="preserve"> na stronie </w:t>
            </w:r>
            <w:r w:rsidRPr="0043485B">
              <w:rPr>
                <w:b w:val="0"/>
                <w:i/>
                <w:sz w:val="14"/>
                <w:szCs w:val="14"/>
              </w:rPr>
              <w:t>Android Enterprise Solution Directory</w:t>
            </w:r>
            <w:r w:rsidRPr="0043485B">
              <w:rPr>
                <w:b w:val="0"/>
                <w:sz w:val="14"/>
                <w:szCs w:val="14"/>
              </w:rPr>
              <w:t xml:space="preserve"> (https://androidenterprisepartners.withgoogle.com/glossary/device/) w zakładce </w:t>
            </w:r>
            <w:proofErr w:type="spellStart"/>
            <w:r w:rsidRPr="0043485B">
              <w:rPr>
                <w:b w:val="0"/>
                <w:i/>
                <w:sz w:val="14"/>
                <w:szCs w:val="14"/>
              </w:rPr>
              <w:t>Glossary</w:t>
            </w:r>
            <w:proofErr w:type="spellEnd"/>
            <w:r w:rsidRPr="0043485B">
              <w:rPr>
                <w:b w:val="0"/>
                <w:sz w:val="14"/>
                <w:szCs w:val="14"/>
              </w:rPr>
              <w:t xml:space="preserve"> / </w:t>
            </w:r>
            <w:r w:rsidRPr="0043485B">
              <w:rPr>
                <w:b w:val="0"/>
                <w:i/>
                <w:sz w:val="14"/>
                <w:szCs w:val="14"/>
              </w:rPr>
              <w:t>Device</w:t>
            </w:r>
            <w:r w:rsidRPr="0043485B">
              <w:rPr>
                <w:b w:val="0"/>
                <w:sz w:val="14"/>
                <w:szCs w:val="14"/>
              </w:rPr>
              <w:t xml:space="preserve"> – sekcja </w:t>
            </w:r>
            <w:r w:rsidRPr="0043485B">
              <w:rPr>
                <w:b w:val="0"/>
                <w:i/>
                <w:sz w:val="14"/>
                <w:szCs w:val="14"/>
              </w:rPr>
              <w:t xml:space="preserve">Android Enterprise </w:t>
            </w:r>
            <w:proofErr w:type="spellStart"/>
            <w:r w:rsidRPr="0043485B">
              <w:rPr>
                <w:b w:val="0"/>
                <w:i/>
                <w:sz w:val="14"/>
                <w:szCs w:val="14"/>
              </w:rPr>
              <w:t>Recommended</w:t>
            </w:r>
            <w:proofErr w:type="spellEnd"/>
            <w:r w:rsidRPr="0043485B">
              <w:rPr>
                <w:b w:val="0"/>
                <w:i/>
                <w:sz w:val="14"/>
                <w:szCs w:val="14"/>
              </w:rPr>
              <w:t xml:space="preserve"> – </w:t>
            </w:r>
            <w:proofErr w:type="spellStart"/>
            <w:r w:rsidRPr="0043485B">
              <w:rPr>
                <w:b w:val="0"/>
                <w:i/>
                <w:sz w:val="14"/>
                <w:szCs w:val="14"/>
              </w:rPr>
              <w:t>Rugged</w:t>
            </w:r>
            <w:proofErr w:type="spellEnd"/>
            <w:r w:rsidRPr="0043485B">
              <w:rPr>
                <w:b w:val="0"/>
                <w:sz w:val="14"/>
                <w:szCs w:val="14"/>
              </w:rPr>
              <w:t xml:space="preserve">. Dopuszcza się zakup rejestratorów spełniających wymagania opisane na powyższej stronie w okresie krótszym niż pięć lat ale nie krótszym niż trzy lata.  </w:t>
            </w:r>
          </w:p>
          <w:p w:rsidR="009C4906" w:rsidRPr="0043485B" w:rsidRDefault="00E65559">
            <w:pPr>
              <w:spacing w:line="259" w:lineRule="auto"/>
              <w:ind w:left="0" w:right="35" w:firstLine="0"/>
              <w:jc w:val="both"/>
              <w:rPr>
                <w:sz w:val="14"/>
                <w:szCs w:val="14"/>
              </w:rPr>
            </w:pPr>
            <w:r w:rsidRPr="0043485B">
              <w:rPr>
                <w:b w:val="0"/>
                <w:sz w:val="14"/>
                <w:szCs w:val="14"/>
              </w:rPr>
              <w:t xml:space="preserve">Badanie weryfikujące wgranie aktualnych poprawek bezpieczeństwa dokonywać należy przy pomocy aplikacji sprawdzających np. </w:t>
            </w:r>
            <w:proofErr w:type="spellStart"/>
            <w:r w:rsidRPr="0043485B">
              <w:rPr>
                <w:b w:val="0"/>
                <w:sz w:val="14"/>
                <w:szCs w:val="14"/>
              </w:rPr>
              <w:t>SnoopSnitch</w:t>
            </w:r>
            <w:proofErr w:type="spellEnd"/>
            <w:r w:rsidRPr="0043485B">
              <w:rPr>
                <w:b w:val="0"/>
                <w:sz w:val="14"/>
                <w:szCs w:val="14"/>
              </w:rPr>
              <w:t xml:space="preserve"> (https://opensource.srlabs.de/projects/snoopsnitch). Urządzenia, które nie będą miały zamontowanych aktualnych poprawek bezpieczeństwa przez pół roku, będą miały blokowany dostęp do systemów wewnętrznych LP. Brak dostarczenia poprawek bezpieczeństwa przez dostawcę urządzeń powinno skutkować żądaniem wymiany urządzenia na spełniające powyższe wymagania. </w:t>
            </w:r>
          </w:p>
        </w:tc>
      </w:tr>
      <w:tr w:rsidR="009C4906" w:rsidTr="00B83663">
        <w:trPr>
          <w:trHeight w:val="285"/>
        </w:trPr>
        <w:tc>
          <w:tcPr>
            <w:tcW w:w="2247"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right="40" w:firstLine="0"/>
              <w:rPr>
                <w:sz w:val="14"/>
                <w:szCs w:val="14"/>
              </w:rPr>
            </w:pPr>
            <w:r w:rsidRPr="0043485B">
              <w:rPr>
                <w:color w:val="1F497C"/>
                <w:sz w:val="14"/>
                <w:szCs w:val="14"/>
              </w:rPr>
              <w:t>Instrukcje</w:t>
            </w:r>
            <w:r w:rsidRPr="0043485B">
              <w:rPr>
                <w:sz w:val="14"/>
                <w:szCs w:val="14"/>
              </w:rPr>
              <w:t xml:space="preserve">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r w:rsidRPr="0043485B">
              <w:rPr>
                <w:b w:val="0"/>
                <w:sz w:val="14"/>
                <w:szCs w:val="14"/>
              </w:rPr>
              <w:t xml:space="preserve">Instrukcja obsługi urządzenia w języku polskim opisująca budowę oraz podstawowe funkcje obsługi urządzenia  </w:t>
            </w:r>
          </w:p>
        </w:tc>
      </w:tr>
      <w:tr w:rsidR="009C4906" w:rsidTr="00B83663">
        <w:trPr>
          <w:trHeight w:val="285"/>
        </w:trPr>
        <w:tc>
          <w:tcPr>
            <w:tcW w:w="2247"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right="40" w:firstLine="0"/>
              <w:rPr>
                <w:sz w:val="14"/>
                <w:szCs w:val="14"/>
              </w:rPr>
            </w:pPr>
            <w:r w:rsidRPr="0043485B">
              <w:rPr>
                <w:color w:val="1F497C"/>
                <w:sz w:val="14"/>
                <w:szCs w:val="14"/>
              </w:rPr>
              <w:t>Inne wymagania</w:t>
            </w:r>
            <w:r w:rsidRPr="0043485B">
              <w:rPr>
                <w:sz w:val="14"/>
                <w:szCs w:val="14"/>
              </w:rPr>
              <w:t xml:space="preserve">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line="259" w:lineRule="auto"/>
              <w:ind w:left="0" w:firstLine="0"/>
              <w:jc w:val="left"/>
              <w:rPr>
                <w:sz w:val="14"/>
                <w:szCs w:val="14"/>
              </w:rPr>
            </w:pPr>
            <w:r w:rsidRPr="0043485B">
              <w:rPr>
                <w:b w:val="0"/>
                <w:sz w:val="14"/>
                <w:szCs w:val="14"/>
              </w:rPr>
              <w:t xml:space="preserve">Rejestratory fabrycznie nowe, muszą być dostarczone do siedziby Zamawiającego na koszt dostawcy. </w:t>
            </w:r>
          </w:p>
        </w:tc>
      </w:tr>
      <w:tr w:rsidR="009C4906" w:rsidTr="00B83663">
        <w:trPr>
          <w:trHeight w:val="1662"/>
        </w:trPr>
        <w:tc>
          <w:tcPr>
            <w:tcW w:w="2247" w:type="dxa"/>
            <w:tcBorders>
              <w:top w:val="single" w:sz="4" w:space="0" w:color="000000"/>
              <w:left w:val="single" w:sz="4" w:space="0" w:color="000000"/>
              <w:bottom w:val="single" w:sz="4" w:space="0" w:color="000000"/>
              <w:right w:val="single" w:sz="4" w:space="0" w:color="000000"/>
            </w:tcBorders>
            <w:vAlign w:val="center"/>
          </w:tcPr>
          <w:p w:rsidR="009C4906" w:rsidRPr="0043485B" w:rsidRDefault="00E65559" w:rsidP="0043485B">
            <w:pPr>
              <w:spacing w:line="259" w:lineRule="auto"/>
              <w:ind w:left="0" w:firstLine="0"/>
              <w:jc w:val="both"/>
              <w:rPr>
                <w:sz w:val="14"/>
                <w:szCs w:val="14"/>
              </w:rPr>
            </w:pPr>
            <w:r w:rsidRPr="0043485B">
              <w:rPr>
                <w:color w:val="548ED4"/>
                <w:sz w:val="14"/>
                <w:szCs w:val="14"/>
              </w:rPr>
              <w:t>Wbudowany czytnik kodów 1D lub 2D</w:t>
            </w:r>
            <w:r w:rsidRPr="0043485B">
              <w:rPr>
                <w:color w:val="1F497C"/>
                <w:sz w:val="14"/>
                <w:szCs w:val="14"/>
              </w:rPr>
              <w:t xml:space="preserve"> </w:t>
            </w:r>
          </w:p>
        </w:tc>
        <w:tc>
          <w:tcPr>
            <w:tcW w:w="7764" w:type="dxa"/>
            <w:tcBorders>
              <w:top w:val="single" w:sz="4" w:space="0" w:color="000000"/>
              <w:left w:val="single" w:sz="4" w:space="0" w:color="000000"/>
              <w:bottom w:val="single" w:sz="4" w:space="0" w:color="000000"/>
              <w:right w:val="single" w:sz="4" w:space="0" w:color="000000"/>
            </w:tcBorders>
          </w:tcPr>
          <w:p w:rsidR="009C4906" w:rsidRPr="0043485B" w:rsidRDefault="00E65559">
            <w:pPr>
              <w:spacing w:after="40" w:line="243" w:lineRule="auto"/>
              <w:ind w:left="0" w:firstLine="0"/>
              <w:jc w:val="both"/>
              <w:rPr>
                <w:sz w:val="14"/>
                <w:szCs w:val="14"/>
              </w:rPr>
            </w:pPr>
            <w:r w:rsidRPr="0043485B">
              <w:rPr>
                <w:color w:val="548ED4"/>
                <w:sz w:val="14"/>
                <w:szCs w:val="14"/>
              </w:rPr>
              <w:t>UWAGA!</w:t>
            </w:r>
            <w:r w:rsidRPr="0043485B">
              <w:rPr>
                <w:b w:val="0"/>
                <w:sz w:val="14"/>
                <w:szCs w:val="14"/>
              </w:rPr>
              <w:t xml:space="preserve"> Jeśli w leśnictwie wykorzystywane są znaczniki do numerowania drewna z kodem kreskowym, to należy rozważyć włączenie do wymagań minimalnych poniższych zapisów: </w:t>
            </w:r>
          </w:p>
          <w:p w:rsidR="009C4906" w:rsidRPr="0043485B" w:rsidRDefault="00E65559">
            <w:pPr>
              <w:numPr>
                <w:ilvl w:val="0"/>
                <w:numId w:val="1"/>
              </w:numPr>
              <w:spacing w:after="34" w:line="259" w:lineRule="auto"/>
              <w:ind w:hanging="278"/>
              <w:jc w:val="left"/>
              <w:rPr>
                <w:sz w:val="14"/>
                <w:szCs w:val="14"/>
              </w:rPr>
            </w:pPr>
            <w:r w:rsidRPr="0043485B">
              <w:rPr>
                <w:b w:val="0"/>
                <w:sz w:val="14"/>
                <w:szCs w:val="14"/>
              </w:rPr>
              <w:t xml:space="preserve">Model czytnika kodów kreskowych  montowany fabrycznie przez producenta.  </w:t>
            </w:r>
          </w:p>
          <w:p w:rsidR="009C4906" w:rsidRPr="0043485B" w:rsidRDefault="00E65559">
            <w:pPr>
              <w:numPr>
                <w:ilvl w:val="0"/>
                <w:numId w:val="1"/>
              </w:numPr>
              <w:spacing w:after="33" w:line="259" w:lineRule="auto"/>
              <w:ind w:hanging="278"/>
              <w:jc w:val="left"/>
              <w:rPr>
                <w:sz w:val="14"/>
                <w:szCs w:val="14"/>
              </w:rPr>
            </w:pPr>
            <w:r w:rsidRPr="0043485B">
              <w:rPr>
                <w:b w:val="0"/>
                <w:sz w:val="14"/>
                <w:szCs w:val="14"/>
              </w:rPr>
              <w:t>Czytnik zapewnia odczyt kodów: 1D (</w:t>
            </w:r>
            <w:proofErr w:type="spellStart"/>
            <w:r w:rsidRPr="0043485B">
              <w:rPr>
                <w:b w:val="0"/>
                <w:sz w:val="14"/>
                <w:szCs w:val="14"/>
              </w:rPr>
              <w:t>Code</w:t>
            </w:r>
            <w:proofErr w:type="spellEnd"/>
            <w:r w:rsidRPr="0043485B">
              <w:rPr>
                <w:b w:val="0"/>
                <w:sz w:val="14"/>
                <w:szCs w:val="14"/>
              </w:rPr>
              <w:t xml:space="preserve"> 128, </w:t>
            </w:r>
            <w:proofErr w:type="spellStart"/>
            <w:r w:rsidRPr="0043485B">
              <w:rPr>
                <w:b w:val="0"/>
                <w:sz w:val="14"/>
                <w:szCs w:val="14"/>
              </w:rPr>
              <w:t>Code</w:t>
            </w:r>
            <w:proofErr w:type="spellEnd"/>
            <w:r w:rsidRPr="0043485B">
              <w:rPr>
                <w:b w:val="0"/>
                <w:sz w:val="14"/>
                <w:szCs w:val="14"/>
              </w:rPr>
              <w:t xml:space="preserve"> 39, EAN) i 2D (Data Matrix, QR </w:t>
            </w:r>
            <w:proofErr w:type="spellStart"/>
            <w:r w:rsidRPr="0043485B">
              <w:rPr>
                <w:b w:val="0"/>
                <w:sz w:val="14"/>
                <w:szCs w:val="14"/>
              </w:rPr>
              <w:t>Code</w:t>
            </w:r>
            <w:proofErr w:type="spellEnd"/>
            <w:r w:rsidRPr="0043485B">
              <w:rPr>
                <w:b w:val="0"/>
                <w:sz w:val="14"/>
                <w:szCs w:val="14"/>
              </w:rPr>
              <w:t xml:space="preserve">, AZTEC). </w:t>
            </w:r>
          </w:p>
          <w:p w:rsidR="009C4906" w:rsidRPr="0043485B" w:rsidRDefault="00E65559">
            <w:pPr>
              <w:numPr>
                <w:ilvl w:val="0"/>
                <w:numId w:val="1"/>
              </w:numPr>
              <w:spacing w:after="34" w:line="259" w:lineRule="auto"/>
              <w:ind w:hanging="278"/>
              <w:jc w:val="left"/>
              <w:rPr>
                <w:sz w:val="14"/>
                <w:szCs w:val="14"/>
              </w:rPr>
            </w:pPr>
            <w:r w:rsidRPr="0043485B">
              <w:rPr>
                <w:b w:val="0"/>
                <w:sz w:val="14"/>
                <w:szCs w:val="14"/>
              </w:rPr>
              <w:t xml:space="preserve">Rozdzielczość: min. 700(H) x min.400(V) pikseli. </w:t>
            </w:r>
          </w:p>
          <w:p w:rsidR="009C4906" w:rsidRPr="0043485B" w:rsidRDefault="00E65559">
            <w:pPr>
              <w:numPr>
                <w:ilvl w:val="0"/>
                <w:numId w:val="1"/>
              </w:numPr>
              <w:spacing w:after="33" w:line="259" w:lineRule="auto"/>
              <w:ind w:hanging="278"/>
              <w:jc w:val="left"/>
              <w:rPr>
                <w:sz w:val="14"/>
                <w:szCs w:val="14"/>
              </w:rPr>
            </w:pPr>
            <w:r w:rsidRPr="0043485B">
              <w:rPr>
                <w:b w:val="0"/>
                <w:sz w:val="14"/>
                <w:szCs w:val="14"/>
              </w:rPr>
              <w:t xml:space="preserve">Szybkość skanowania: min. 50 skanów na sek. dla kodów 2D /  min. 100 skanów na sek. dla kodów 1D. </w:t>
            </w:r>
          </w:p>
          <w:p w:rsidR="009C4906" w:rsidRPr="0043485B" w:rsidRDefault="00E65559">
            <w:pPr>
              <w:numPr>
                <w:ilvl w:val="0"/>
                <w:numId w:val="1"/>
              </w:numPr>
              <w:spacing w:after="34" w:line="259" w:lineRule="auto"/>
              <w:ind w:hanging="278"/>
              <w:jc w:val="left"/>
              <w:rPr>
                <w:sz w:val="14"/>
                <w:szCs w:val="14"/>
              </w:rPr>
            </w:pPr>
            <w:r w:rsidRPr="0043485B">
              <w:rPr>
                <w:b w:val="0"/>
                <w:sz w:val="14"/>
                <w:szCs w:val="14"/>
              </w:rPr>
              <w:t xml:space="preserve">Odległość skanowania obejmuje co najmniej zakres: 5-20 cm. </w:t>
            </w:r>
          </w:p>
          <w:p w:rsidR="009C4906" w:rsidRPr="0043485B" w:rsidRDefault="00E65559">
            <w:pPr>
              <w:numPr>
                <w:ilvl w:val="0"/>
                <w:numId w:val="1"/>
              </w:numPr>
              <w:spacing w:line="242" w:lineRule="auto"/>
              <w:ind w:hanging="278"/>
              <w:jc w:val="left"/>
              <w:rPr>
                <w:sz w:val="14"/>
                <w:szCs w:val="14"/>
              </w:rPr>
            </w:pPr>
            <w:r w:rsidRPr="0043485B">
              <w:rPr>
                <w:b w:val="0"/>
                <w:sz w:val="14"/>
                <w:szCs w:val="14"/>
              </w:rPr>
              <w:t xml:space="preserve">Skanowany jest kod 1D o długości 11 cyfr zapisany w formacie </w:t>
            </w:r>
            <w:proofErr w:type="spellStart"/>
            <w:r w:rsidRPr="0043485B">
              <w:rPr>
                <w:b w:val="0"/>
                <w:sz w:val="14"/>
                <w:szCs w:val="14"/>
              </w:rPr>
              <w:t>Code</w:t>
            </w:r>
            <w:proofErr w:type="spellEnd"/>
            <w:r w:rsidRPr="0043485B">
              <w:rPr>
                <w:b w:val="0"/>
                <w:sz w:val="14"/>
                <w:szCs w:val="14"/>
              </w:rPr>
              <w:t xml:space="preserve"> 128 </w:t>
            </w:r>
            <w:proofErr w:type="spellStart"/>
            <w:r w:rsidRPr="0043485B">
              <w:rPr>
                <w:b w:val="0"/>
                <w:sz w:val="14"/>
                <w:szCs w:val="14"/>
              </w:rPr>
              <w:t>Optimized</w:t>
            </w:r>
            <w:proofErr w:type="spellEnd"/>
            <w:r w:rsidRPr="0043485B">
              <w:rPr>
                <w:b w:val="0"/>
                <w:sz w:val="14"/>
                <w:szCs w:val="14"/>
              </w:rPr>
              <w:t xml:space="preserve">.   Wymiary kodu dla oznaczników zwykłych 33 mm szerokości na 8 mm wysokości. Wymiary kodu dla oznaczników </w:t>
            </w:r>
            <w:proofErr w:type="spellStart"/>
            <w:r w:rsidRPr="0043485B">
              <w:rPr>
                <w:b w:val="0"/>
                <w:sz w:val="14"/>
                <w:szCs w:val="14"/>
              </w:rPr>
              <w:t>stickers</w:t>
            </w:r>
            <w:proofErr w:type="spellEnd"/>
            <w:r w:rsidRPr="0043485B">
              <w:rPr>
                <w:b w:val="0"/>
                <w:sz w:val="14"/>
                <w:szCs w:val="14"/>
              </w:rPr>
              <w:t xml:space="preserve"> (z zabezpieczeniem przed ponownym użyciem) 25 mm szerokości na 7 mm wysokości. </w:t>
            </w:r>
          </w:p>
          <w:p w:rsidR="009C4906" w:rsidRPr="0043485B" w:rsidRDefault="00E65559">
            <w:pPr>
              <w:spacing w:after="29" w:line="259" w:lineRule="auto"/>
              <w:ind w:left="278" w:firstLine="0"/>
              <w:jc w:val="left"/>
              <w:rPr>
                <w:sz w:val="14"/>
                <w:szCs w:val="14"/>
              </w:rPr>
            </w:pPr>
            <w:r w:rsidRPr="0043485B">
              <w:rPr>
                <w:b w:val="0"/>
                <w:sz w:val="14"/>
                <w:szCs w:val="14"/>
              </w:rPr>
              <w:t xml:space="preserve">Szerokość najcieńszej kreski kodu kreskowego 0,15-0,20 mm. </w:t>
            </w:r>
          </w:p>
          <w:p w:rsidR="009C4906" w:rsidRPr="0043485B" w:rsidRDefault="00E65559">
            <w:pPr>
              <w:numPr>
                <w:ilvl w:val="0"/>
                <w:numId w:val="1"/>
              </w:numPr>
              <w:spacing w:line="259" w:lineRule="auto"/>
              <w:ind w:hanging="278"/>
              <w:jc w:val="left"/>
              <w:rPr>
                <w:sz w:val="14"/>
                <w:szCs w:val="14"/>
              </w:rPr>
            </w:pPr>
            <w:r w:rsidRPr="0043485B">
              <w:rPr>
                <w:b w:val="0"/>
                <w:sz w:val="14"/>
                <w:szCs w:val="14"/>
              </w:rPr>
              <w:t xml:space="preserve">Przycisk skanera kodu kreskowego. </w:t>
            </w:r>
          </w:p>
        </w:tc>
      </w:tr>
    </w:tbl>
    <w:p w:rsidR="009C4906" w:rsidRDefault="00E65559">
      <w:pPr>
        <w:spacing w:after="6" w:line="259" w:lineRule="auto"/>
        <w:ind w:left="0" w:firstLine="0"/>
        <w:jc w:val="left"/>
      </w:pPr>
      <w:r>
        <w:rPr>
          <w:b w:val="0"/>
          <w:sz w:val="24"/>
        </w:rPr>
        <w:t xml:space="preserve"> </w:t>
      </w:r>
    </w:p>
    <w:p w:rsidR="009C4906" w:rsidRDefault="00E65559">
      <w:pPr>
        <w:spacing w:line="259" w:lineRule="auto"/>
        <w:ind w:left="0" w:firstLine="0"/>
        <w:jc w:val="left"/>
      </w:pPr>
      <w:r>
        <w:rPr>
          <w:b w:val="0"/>
          <w:sz w:val="24"/>
        </w:rPr>
        <w:t xml:space="preserve"> </w:t>
      </w:r>
      <w:r>
        <w:rPr>
          <w:b w:val="0"/>
          <w:sz w:val="24"/>
        </w:rPr>
        <w:tab/>
        <w:t xml:space="preserve"> </w:t>
      </w:r>
    </w:p>
    <w:p w:rsidR="009C4906" w:rsidRDefault="009C4906" w:rsidP="00642678">
      <w:pPr>
        <w:spacing w:line="259" w:lineRule="auto"/>
        <w:ind w:left="0" w:firstLine="0"/>
        <w:jc w:val="left"/>
      </w:pPr>
    </w:p>
    <w:sectPr w:rsidR="009C4906" w:rsidSect="00B83663">
      <w:headerReference w:type="default" r:id="rId7"/>
      <w:pgSz w:w="11900" w:h="16840"/>
      <w:pgMar w:top="907" w:right="1077" w:bottom="907" w:left="1077"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98" w:rsidRDefault="002A5798" w:rsidP="00B83663">
      <w:pPr>
        <w:spacing w:line="240" w:lineRule="auto"/>
      </w:pPr>
      <w:r>
        <w:separator/>
      </w:r>
    </w:p>
  </w:endnote>
  <w:endnote w:type="continuationSeparator" w:id="0">
    <w:p w:rsidR="002A5798" w:rsidRDefault="002A5798" w:rsidP="00B8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98" w:rsidRDefault="002A5798" w:rsidP="00B83663">
      <w:pPr>
        <w:spacing w:line="240" w:lineRule="auto"/>
      </w:pPr>
      <w:r>
        <w:separator/>
      </w:r>
    </w:p>
  </w:footnote>
  <w:footnote w:type="continuationSeparator" w:id="0">
    <w:p w:rsidR="002A5798" w:rsidRDefault="002A5798" w:rsidP="00B8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63" w:rsidRDefault="00B83663">
    <w:pPr>
      <w:pStyle w:val="Nagwek"/>
      <w:rPr>
        <w:sz w:val="18"/>
        <w:szCs w:val="18"/>
      </w:rPr>
    </w:pPr>
    <w:r>
      <w:rPr>
        <w:sz w:val="18"/>
        <w:szCs w:val="18"/>
      </w:rPr>
      <w:t xml:space="preserve">                                                                   </w:t>
    </w:r>
    <w:r w:rsidR="004740AB">
      <w:rPr>
        <w:sz w:val="18"/>
        <w:szCs w:val="18"/>
      </w:rPr>
      <w:t xml:space="preserve"> </w:t>
    </w:r>
    <w:r w:rsidRPr="00B83663">
      <w:rPr>
        <w:sz w:val="18"/>
        <w:szCs w:val="18"/>
      </w:rPr>
      <w:t>Załącznik nr 1</w:t>
    </w:r>
  </w:p>
  <w:p w:rsidR="00B83663" w:rsidRPr="00B83663" w:rsidRDefault="00B83663">
    <w:pPr>
      <w:pStyle w:val="Nagwek"/>
      <w:rPr>
        <w:sz w:val="18"/>
        <w:szCs w:val="18"/>
      </w:rPr>
    </w:pPr>
    <w:r>
      <w:rPr>
        <w:sz w:val="18"/>
        <w:szCs w:val="18"/>
      </w:rPr>
      <w:t xml:space="preserve">                                                                                                     </w:t>
    </w:r>
    <w:r w:rsidR="004740AB">
      <w:rPr>
        <w:sz w:val="18"/>
        <w:szCs w:val="18"/>
      </w:rPr>
      <w:t xml:space="preserve">                       </w:t>
    </w:r>
    <w:r>
      <w:rPr>
        <w:sz w:val="18"/>
        <w:szCs w:val="18"/>
      </w:rPr>
      <w:t xml:space="preserve"> do szczegółowego opisu </w:t>
    </w:r>
    <w:r w:rsidR="004740AB">
      <w:rPr>
        <w:sz w:val="18"/>
        <w:szCs w:val="18"/>
      </w:rPr>
      <w:t xml:space="preserve">przedmiotu </w:t>
    </w:r>
    <w:r>
      <w:rPr>
        <w:sz w:val="18"/>
        <w:szCs w:val="18"/>
      </w:rPr>
      <w:t>zamówienia</w:t>
    </w:r>
  </w:p>
  <w:p w:rsidR="00B83663" w:rsidRDefault="00B836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26FED"/>
    <w:multiLevelType w:val="hybridMultilevel"/>
    <w:tmpl w:val="6C267F64"/>
    <w:lvl w:ilvl="0" w:tplc="BCD48AC0">
      <w:start w:val="1"/>
      <w:numFmt w:val="decimal"/>
      <w:lvlText w:val="%1."/>
      <w:lvlJc w:val="left"/>
      <w:pPr>
        <w:ind w:left="27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777A2538">
      <w:start w:val="1"/>
      <w:numFmt w:val="lowerLetter"/>
      <w:lvlText w:val="%2"/>
      <w:lvlJc w:val="left"/>
      <w:pPr>
        <w:ind w:left="115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53E87D64">
      <w:start w:val="1"/>
      <w:numFmt w:val="lowerRoman"/>
      <w:lvlText w:val="%3"/>
      <w:lvlJc w:val="left"/>
      <w:pPr>
        <w:ind w:left="187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ECDC3586">
      <w:start w:val="1"/>
      <w:numFmt w:val="decimal"/>
      <w:lvlText w:val="%4"/>
      <w:lvlJc w:val="left"/>
      <w:pPr>
        <w:ind w:left="259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C4906372">
      <w:start w:val="1"/>
      <w:numFmt w:val="lowerLetter"/>
      <w:lvlText w:val="%5"/>
      <w:lvlJc w:val="left"/>
      <w:pPr>
        <w:ind w:left="331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A6B61038">
      <w:start w:val="1"/>
      <w:numFmt w:val="lowerRoman"/>
      <w:lvlText w:val="%6"/>
      <w:lvlJc w:val="left"/>
      <w:pPr>
        <w:ind w:left="403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88FEF214">
      <w:start w:val="1"/>
      <w:numFmt w:val="decimal"/>
      <w:lvlText w:val="%7"/>
      <w:lvlJc w:val="left"/>
      <w:pPr>
        <w:ind w:left="475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8E748F2A">
      <w:start w:val="1"/>
      <w:numFmt w:val="lowerLetter"/>
      <w:lvlText w:val="%8"/>
      <w:lvlJc w:val="left"/>
      <w:pPr>
        <w:ind w:left="547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D4AA0076">
      <w:start w:val="1"/>
      <w:numFmt w:val="lowerRoman"/>
      <w:lvlText w:val="%9"/>
      <w:lvlJc w:val="left"/>
      <w:pPr>
        <w:ind w:left="619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06"/>
    <w:rsid w:val="002A5798"/>
    <w:rsid w:val="0043485B"/>
    <w:rsid w:val="004740AB"/>
    <w:rsid w:val="00642678"/>
    <w:rsid w:val="007C1BAA"/>
    <w:rsid w:val="009C4906"/>
    <w:rsid w:val="00B83663"/>
    <w:rsid w:val="00E65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10B2"/>
  <w15:docId w15:val="{D1A132F3-64DD-4B82-B149-F81C1297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8" w:lineRule="auto"/>
      <w:ind w:left="447" w:hanging="10"/>
      <w:jc w:val="center"/>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B83663"/>
    <w:pPr>
      <w:tabs>
        <w:tab w:val="center" w:pos="4536"/>
        <w:tab w:val="right" w:pos="9072"/>
      </w:tabs>
      <w:spacing w:line="240" w:lineRule="auto"/>
    </w:pPr>
  </w:style>
  <w:style w:type="character" w:customStyle="1" w:styleId="NagwekZnak">
    <w:name w:val="Nagłówek Znak"/>
    <w:basedOn w:val="Domylnaczcionkaakapitu"/>
    <w:link w:val="Nagwek"/>
    <w:uiPriority w:val="99"/>
    <w:rsid w:val="00B83663"/>
    <w:rPr>
      <w:rFonts w:ascii="Times New Roman" w:eastAsia="Times New Roman" w:hAnsi="Times New Roman" w:cs="Times New Roman"/>
      <w:b/>
      <w:color w:val="000000"/>
      <w:sz w:val="28"/>
    </w:rPr>
  </w:style>
  <w:style w:type="paragraph" w:styleId="Stopka">
    <w:name w:val="footer"/>
    <w:basedOn w:val="Normalny"/>
    <w:link w:val="StopkaZnak"/>
    <w:uiPriority w:val="99"/>
    <w:unhideWhenUsed/>
    <w:rsid w:val="00B83663"/>
    <w:pPr>
      <w:tabs>
        <w:tab w:val="center" w:pos="4536"/>
        <w:tab w:val="right" w:pos="9072"/>
      </w:tabs>
      <w:spacing w:line="240" w:lineRule="auto"/>
    </w:pPr>
  </w:style>
  <w:style w:type="character" w:customStyle="1" w:styleId="StopkaZnak">
    <w:name w:val="Stopka Znak"/>
    <w:basedOn w:val="Domylnaczcionkaakapitu"/>
    <w:link w:val="Stopka"/>
    <w:uiPriority w:val="99"/>
    <w:rsid w:val="00B83663"/>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853</Words>
  <Characters>5123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Wymagania dla urządzeń mobilnych z androidem</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dla urządzeń mobilnych z androidem</dc:title>
  <dc:subject/>
  <dc:creator>adam.rybicki</dc:creator>
  <cp:keywords/>
  <cp:lastModifiedBy>Katarzyna Chajecka</cp:lastModifiedBy>
  <cp:revision>4</cp:revision>
  <dcterms:created xsi:type="dcterms:W3CDTF">2021-08-04T08:33:00Z</dcterms:created>
  <dcterms:modified xsi:type="dcterms:W3CDTF">2021-08-04T08:36:00Z</dcterms:modified>
</cp:coreProperties>
</file>